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F3" w:rsidRPr="008A5D94" w:rsidRDefault="007A7872" w:rsidP="0000568D">
      <w:pPr>
        <w:shd w:val="clear" w:color="auto" w:fill="FFFFFF"/>
        <w:tabs>
          <w:tab w:val="left" w:pos="1800"/>
          <w:tab w:val="left" w:pos="34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  <w:r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У</w:t>
      </w:r>
      <w:r w:rsidR="00D664F3"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частие </w:t>
      </w:r>
      <w:r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на </w:t>
      </w:r>
      <w:r w:rsidR="00D664F3"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Република България </w:t>
      </w:r>
      <w:r w:rsidR="00D664F3"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 24-та Конференция на страните по Рамковата конвенция на Обединените нации по изменение на климата</w:t>
      </w:r>
      <w:r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(СОР24)</w:t>
      </w:r>
      <w:r w:rsidR="00D664F3" w:rsidRPr="008A5D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,14-та  Среща на страните по Протокола от Киото и 3-та сесия на 1-та Среща на страните по Парижкото споразумение</w:t>
      </w:r>
    </w:p>
    <w:p w:rsidR="00967865" w:rsidRPr="008A5D94" w:rsidRDefault="00967865" w:rsidP="0000568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7A7872" w:rsidRDefault="007A7872" w:rsidP="000056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Конференцията на страните по</w:t>
      </w:r>
      <w:r w:rsidR="008A5D94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Рамковата конвенция на Обединените нации по изменение на климата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A5D94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РКООНИК</w:t>
      </w:r>
      <w:r w:rsidR="008A5D94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)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е висшият орган на Конвенцията и се провежда в края на всяка календарна година. </w:t>
      </w:r>
      <w:r w:rsidRPr="00C273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Целта на преговорите в Катовице е да се приемат правилата за прилагане на Споразумението от Париж (СП</w:t>
      </w:r>
      <w:r w:rsidR="00FC4374" w:rsidRPr="00C273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).</w:t>
      </w:r>
      <w:r w:rsid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="008A49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Основните въпроси, които ще бъдат обект на обсъжданията са</w:t>
      </w:r>
      <w:r w:rsidR="002807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к</w:t>
      </w:r>
      <w:r w:rsidR="00A04E1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акто следва:</w:t>
      </w:r>
    </w:p>
    <w:p w:rsidR="007B0331" w:rsidRPr="007B0331" w:rsidRDefault="00A04E12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7B03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Със Споразумението от Париж бе приета </w:t>
      </w:r>
      <w:r w:rsidR="007A7872" w:rsidRPr="007B03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т. нар. температурна цел за ограничаване на повишаването на глобалната средна температура значително под 2°С в сравнение с прединдустриалните нива, като се продължат усилията нейното увеличение да не надвишава 1.5° С (индикативна цел). Съгласно разпоредбите на Споразумението всяка страна по него ще подготвя, представя и поддържа последващи </w:t>
      </w:r>
      <w:r w:rsidR="007A7872" w:rsidRPr="007B033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национално определени приноси</w:t>
      </w:r>
      <w:r w:rsidR="007A7872" w:rsidRPr="007B03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които възнамерява да постигне. За тази цел страните трябва да осъществяват национални мерки за смекчаване.</w:t>
      </w:r>
      <w:r w:rsidR="00491B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="008B4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България няма подаден отделен такъв принос. Като държава членка на ЕС ние ще изпълняваме обща цел за ЕС съвместно с останалите държави членки, като това е целта за намаление на емисиите на парникови газове с 40 % до 2030 г. в сравнение с 1990 г. </w:t>
      </w:r>
      <w:r w:rsidR="008B4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(</w:t>
      </w:r>
      <w:r w:rsidR="008B4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идентична с целта на ЕС по климат и енергетика в </w:t>
      </w:r>
      <w:r w:rsid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рамките</w:t>
      </w:r>
      <w:r w:rsidR="008B4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Енергийния съюз</w:t>
      </w:r>
      <w:r w:rsidR="008B4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)</w:t>
      </w:r>
      <w:r w:rsidR="0059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7A7872" w:rsidRDefault="002B22A9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процес на разработване са правилата, условията и процедурите на новия </w:t>
      </w:r>
      <w:r w:rsidRPr="00C86E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пазарен механизъм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които да бъдат приети на 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COP24</w:t>
      </w:r>
      <w:r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59352D" w:rsidRPr="0059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59352D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Механизмът има за цел подпомагане намаляването на емисии на парникови газове и подкрепа на устойчивото развитие</w:t>
      </w:r>
      <w:r w:rsidR="005935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176DED" w:rsidRDefault="0059352D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контекста на приетата със СП</w:t>
      </w:r>
      <w:r w:rsid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176DED" w:rsidRPr="008A5D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глобална цел за адаптация</w:t>
      </w:r>
      <w:r w:rsidR="00176DED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се п</w:t>
      </w:r>
      <w:r w:rsidR="00176DED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редвижда страните да разработят или подобрят планове</w:t>
      </w:r>
      <w:r w:rsidR="00280B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те</w:t>
      </w:r>
      <w:r w:rsidR="00176DED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политики</w:t>
      </w:r>
      <w:r w:rsidR="00280B9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те</w:t>
      </w:r>
      <w:r w:rsidR="00176DED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адаптация към последиците от климатичните промени; </w:t>
      </w:r>
    </w:p>
    <w:p w:rsidR="00744055" w:rsidRDefault="004B1CC8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До 2025 г. предстои да бъде определена нова колективна </w:t>
      </w:r>
      <w:r w:rsidRPr="00DA2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количествена цел за предоставяне на финансови ресурси</w:t>
      </w: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DA2F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от страна на развитите страни</w:t>
      </w: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Съгласно СП </w:t>
      </w: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развитите страни имат задължения да предоставят финансови средства на развиващите се страни за дейности за смекчаване и адаптация </w:t>
      </w:r>
      <w:r w:rsidRPr="004B1C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продължение на съществуващите им задължения съгласно Конвенцията.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Останалите</w:t>
      </w: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страни се насърчават да предоставят или да продължат да предоставят финан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сова помощ на доброволна основа</w:t>
      </w:r>
      <w:r w:rsidRPr="00BF1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AA40D1" w:rsidRPr="00AA40D1" w:rsidRDefault="002A7FA4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AA40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</w:t>
      </w:r>
      <w:r w:rsidRPr="00AA40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COP24</w:t>
      </w:r>
      <w:r w:rsidRPr="00AA40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предстои да се договорят условията, процедурите и насоките за прилагане на новата </w:t>
      </w:r>
      <w:r w:rsidR="00AA40D1" w:rsidRPr="00AA4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подобрена рамка за прозрачност на действията и подкрепа</w:t>
      </w:r>
      <w:r w:rsidR="00AA4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2B470F" w:rsidRPr="00AA40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Всяка страна трябва редовно да предоставя национален доклад за инвентаризацията на емисии на парникови газове и необходимата информация за проследяване на напредъка за прилагане и постигане на национално определените приноси. Цялата тази информация, предоставяна от страните, ще бъде обект на преглед от експертни проверяващи екипи.</w:t>
      </w:r>
    </w:p>
    <w:p w:rsidR="002B470F" w:rsidRDefault="002B470F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Предвижда се осъществяване на</w:t>
      </w:r>
      <w:r w:rsidRPr="00253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глобален преглед на изпълнението на </w:t>
      </w:r>
      <w:r w:rsidR="00D829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С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поразумението</w:t>
      </w:r>
      <w:r w:rsidRPr="00253C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всеки пет години за оценка на колективния напредък към постигане на неговите дългосрочни цели. Този процес ще разглежда 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lastRenderedPageBreak/>
        <w:t xml:space="preserve">ефективността при изпълнението на целите в областта на смекчаването, адаптацията и средствата за изпълнение. </w:t>
      </w:r>
      <w:r w:rsidR="00253C20"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Насоките за глобалния преглед са в процес на финализиране.</w:t>
      </w:r>
      <w:r w:rsid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Първият глобален преглед ще се проведе през 2023 г., а следващите – на всеки пет години след това. По време на министерския сегмент на 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GB" w:eastAsia="bg-BG"/>
        </w:rPr>
        <w:t xml:space="preserve">COP24 </w:t>
      </w:r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ще се проведе политическата фаза на т.нар. </w:t>
      </w:r>
      <w:proofErr w:type="spellStart"/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Таланоа</w:t>
      </w:r>
      <w:proofErr w:type="spellEnd"/>
      <w:r w:rsidRPr="00253C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Диалог, който по своята същност представлява първи преглед на напредъка към постигане на целта от 2 °C</w:t>
      </w:r>
      <w:r w:rsidR="00236EE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236EEB" w:rsidRDefault="00236EEB" w:rsidP="000056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рамките на СОР24 трябва да бъдат приети и </w:t>
      </w:r>
      <w:r w:rsidR="001B60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условията и процедурите за ефективна работа на комитета по </w:t>
      </w:r>
      <w:r w:rsidR="001B6046" w:rsidRPr="001E4C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механизма за съответствие</w:t>
      </w:r>
      <w:r w:rsidR="001B60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установен със СП, </w:t>
      </w:r>
      <w:r w:rsidR="001B6046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който </w:t>
      </w:r>
      <w:r w:rsidR="001B60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им за цел </w:t>
      </w:r>
      <w:r w:rsidR="001B6046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да улесни изпълнението и да насърчи спазването на разпоредбите на </w:t>
      </w:r>
      <w:r w:rsidR="001B60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</w:t>
      </w:r>
      <w:r w:rsidR="001B6046" w:rsidRPr="008A5D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поразумението</w:t>
      </w:r>
      <w:r w:rsidR="001B60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176DED" w:rsidRPr="008A5D94" w:rsidRDefault="00176DED" w:rsidP="0000568D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70F" w:rsidRDefault="002B470F" w:rsidP="0000568D">
      <w:p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94">
        <w:rPr>
          <w:rFonts w:ascii="Times New Roman" w:hAnsi="Times New Roman" w:cs="Times New Roman"/>
          <w:sz w:val="24"/>
          <w:szCs w:val="24"/>
        </w:rPr>
        <w:t>Резюме на позицията на Република България</w:t>
      </w:r>
      <w:r w:rsidR="001B6046">
        <w:rPr>
          <w:rFonts w:ascii="Times New Roman" w:hAnsi="Times New Roman" w:cs="Times New Roman"/>
          <w:sz w:val="24"/>
          <w:szCs w:val="24"/>
        </w:rPr>
        <w:t xml:space="preserve"> по откритите въпроси</w:t>
      </w:r>
      <w:r w:rsidRPr="008A5D94">
        <w:rPr>
          <w:rFonts w:ascii="Times New Roman" w:hAnsi="Times New Roman" w:cs="Times New Roman"/>
          <w:sz w:val="24"/>
          <w:szCs w:val="24"/>
        </w:rPr>
        <w:t>:</w:t>
      </w:r>
    </w:p>
    <w:p w:rsidR="001B6046" w:rsidRPr="00FC4374" w:rsidRDefault="001B6046" w:rsidP="0000568D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74">
        <w:rPr>
          <w:rFonts w:ascii="Times New Roman" w:hAnsi="Times New Roman" w:cs="Times New Roman"/>
          <w:b/>
          <w:sz w:val="24"/>
          <w:szCs w:val="24"/>
        </w:rPr>
        <w:t>Национално определени приноси</w:t>
      </w:r>
      <w:r w:rsidRPr="00FC4374">
        <w:rPr>
          <w:rFonts w:ascii="Times New Roman" w:hAnsi="Times New Roman" w:cs="Times New Roman"/>
          <w:sz w:val="24"/>
          <w:szCs w:val="24"/>
        </w:rPr>
        <w:t xml:space="preserve"> - </w:t>
      </w:r>
      <w:r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България счита, че всички страни </w:t>
      </w:r>
      <w:r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(</w:t>
      </w:r>
      <w:r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развити и развиващи се</w:t>
      </w:r>
      <w:r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 xml:space="preserve">) </w:t>
      </w:r>
      <w:r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трябва да въведат политики и да изпълняват мерки за постигане на своите национално определени приноси</w:t>
      </w:r>
      <w:r w:rsidR="00BF14D6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Подкрепяме разработването на допълнителни насоки по съпътстващата приносите информация, които да гарантират сравнимост</w:t>
      </w:r>
      <w:r w:rsidR="00A7569B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та</w:t>
      </w:r>
      <w:r w:rsidR="00BF14D6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отделните приноси.</w:t>
      </w:r>
      <w:r w:rsidR="00A7569B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По отношение на времевата рамка на приносите, България подкрепя</w:t>
      </w:r>
      <w:r w:rsidR="007239D6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10 годишен</w:t>
      </w:r>
      <w:r w:rsidR="00A7569B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7239D6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период за изпълнение на национално определените приноси, като би могла да приеме и т.н. хибриден подход, който да задоволи както исканията на тези страни, които подкрепят 10-годишна времева рамка, така и останалите държави, настояващи за 5-годишни национално определени приноси, в съответствие</w:t>
      </w:r>
      <w:r w:rsidR="00C86EC9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 избора на съответната страна</w:t>
      </w:r>
      <w:r w:rsidR="000D0EEF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Не на последно място България защитава позицията, че </w:t>
      </w:r>
      <w:r w:rsidR="000D0EEF" w:rsidRPr="00FC43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за справянето с изменението на климата трябва да се предприемат</w:t>
      </w:r>
      <w:r w:rsidR="000D0EEF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0D0EEF" w:rsidRPr="00FC437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адекватни</w:t>
      </w:r>
      <w:r w:rsidR="000D0EEF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0D0EEF" w:rsidRPr="00FC437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мерки на глобално ниво, т.е. от всички страни</w:t>
      </w:r>
      <w:r w:rsidR="000D0EEF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Подчертаваме, че ЕС изпълнява най-амбициозните цели за намаляване на емисиите на парникови газове, като същевременно е отговорен едва за 9.6 % от дела на глобалните емисии. Не може и не трябва да се очаква, че сам Съюзът може да се справи с </w:t>
      </w:r>
      <w:r w:rsidR="000D0EEF" w:rsidRPr="00FC437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глобалния</w:t>
      </w:r>
      <w:r w:rsidR="000D0EEF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проблем изменение на климата</w:t>
      </w:r>
      <w:r w:rsidR="008B4A0B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. </w:t>
      </w:r>
      <w:r w:rsidR="00FC4374" w:rsidRPr="00FC4374">
        <w:rPr>
          <w:rFonts w:ascii="Times New Roman" w:eastAsia="Calibri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bg-BG"/>
        </w:rPr>
        <w:t>Категорично не можем да приемем увеличаване на амбицията на ЕС по отношение на целите до 2030 г.</w:t>
      </w:r>
      <w:r w:rsidR="00FC4374" w:rsidRPr="00FC437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C86EC9" w:rsidRPr="00FC43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C86EC9" w:rsidRPr="00365EB3" w:rsidRDefault="00C86EC9" w:rsidP="0000568D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C9">
        <w:rPr>
          <w:rFonts w:ascii="Times New Roman" w:hAnsi="Times New Roman" w:cs="Times New Roman"/>
          <w:b/>
          <w:sz w:val="24"/>
          <w:szCs w:val="24"/>
        </w:rPr>
        <w:t>Пазарен механизъм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6E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Страната ни приветства създаването на новия пазарен механизъм, насърчаващ </w:t>
      </w:r>
      <w:proofErr w:type="spellStart"/>
      <w:r w:rsidRPr="00C86E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разходоефективни</w:t>
      </w:r>
      <w:proofErr w:type="spellEnd"/>
      <w:r w:rsidRPr="00C86E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действия за смекчаване. Считаме, че правилата за отчетност, които предстои да се договорят, трябва да бъдат общо приложими, да гарантират интегритета на околната среда и избягването на </w:t>
      </w:r>
      <w:r w:rsidRPr="00365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двойното отчитане на редукции на емисии на парникови газове</w:t>
      </w:r>
      <w:r w:rsidR="00365EB3" w:rsidRPr="00365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365EB3" w:rsidRPr="00365EB3" w:rsidRDefault="00365EB3" w:rsidP="00365EB3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365EB3">
        <w:rPr>
          <w:rFonts w:ascii="Times New Roman" w:hAnsi="Times New Roman" w:cs="Times New Roman"/>
          <w:b/>
          <w:sz w:val="24"/>
          <w:szCs w:val="24"/>
        </w:rPr>
        <w:t>Глобална</w:t>
      </w:r>
      <w:r w:rsidRPr="00365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цел за адаптация - </w:t>
      </w:r>
      <w:r w:rsidRPr="00365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България, счита, че </w:t>
      </w:r>
      <w:r w:rsidRPr="00365E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всички страни </w:t>
      </w:r>
      <w:r w:rsidRPr="00365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трябва да предприемат мерки за адаптация.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Те</w:t>
      </w:r>
      <w:r w:rsidRPr="00365E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следва да бъдат насърчавани да интегрират адаптацията в националните планове, стратегии и програми и да споделят опита си с цел постигане на устойчиво на </w:t>
      </w:r>
      <w:r w:rsidR="003044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климатичните изменения развитие;</w:t>
      </w:r>
    </w:p>
    <w:p w:rsidR="00365EB3" w:rsidRPr="00BB31A0" w:rsidRDefault="00DA2F04" w:rsidP="0000568D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Мобилизиране на финансови средства - </w:t>
      </w:r>
      <w:r w:rsidRPr="00DA2F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Новото споразумение не преразглежда статута на Република България по РКООНИК и българската страна продължава да се счита з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 „страна с икономика в преход”, което не вменява ангажименти за задължителни финансови вноски. В това си качество,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lastRenderedPageBreak/>
        <w:t>страната ни ще продължи да предоставя финансова помощ</w:t>
      </w:r>
      <w:r w:rsidR="0030444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B31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 доброволен принцип;</w:t>
      </w:r>
    </w:p>
    <w:p w:rsidR="00BB31A0" w:rsidRPr="00D8294E" w:rsidRDefault="00BB31A0" w:rsidP="00570368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9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Подобрена рамка за прозрачност - </w:t>
      </w:r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Считаме, че новата система за прозрачност и отчетност</w:t>
      </w:r>
      <w:r w:rsidRPr="00D82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не трябва да се основава на разделителния подход (между развити и развиващи се страни), прилаган в настоящата система</w:t>
      </w:r>
      <w:r w:rsidR="00570368"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Новата рамка трябва да спомага за изграждане на взаимно доверие и да насърчава ефективно изпълнение на ангажиментите, произтичащи от Споразумението.</w:t>
      </w:r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570368"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Правилата следва да са приложими към всички страни и да позволяват сравнимост на отчитаните от отделните страни намаления на емисии, както и постигане на целите, заложени в техните национално определени приноси. Същевременно те трябва да предоставят и съответната гъвкавост, за отчитане на конкретни</w:t>
      </w:r>
      <w:r w:rsidR="00D8294E"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те</w:t>
      </w:r>
      <w:r w:rsidR="00570368"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специфики</w:t>
      </w:r>
      <w:r w:rsid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D8294E" w:rsidRPr="00D8294E" w:rsidRDefault="00D8294E" w:rsidP="00D8294E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лобален преглед на изпълнението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С</w:t>
      </w:r>
      <w:r w:rsidRPr="00253C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поразумението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- </w:t>
      </w:r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Глобалният преглед следва да гарантира </w:t>
      </w:r>
      <w:proofErr w:type="spellStart"/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предвидимост</w:t>
      </w:r>
      <w:proofErr w:type="spellEnd"/>
      <w:r w:rsidRPr="00D8294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по-голяма яснота и разбиране за приноса на страните на всеки един етап на представяне на нови цели, което от своя страна да подпомогне постигането на сравнимост на амбицията в действията и информирано взимане на решения на национално ниво за поемане на нови ангажименти. Не подкрепяме прилагането на еднакъв подход относно смекчаването, адаптацията и средствата за изпълнение поради неговата неприложимост и същностното различие между отделните елементи. </w:t>
      </w:r>
    </w:p>
    <w:p w:rsidR="00D8294E" w:rsidRPr="001E4C91" w:rsidRDefault="001E4C91" w:rsidP="00570368">
      <w:pPr>
        <w:pStyle w:val="ListParagraph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Механизъм за съответствие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- </w:t>
      </w:r>
      <w:r w:rsidRPr="001E4C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страната ни подкрепя пълното </w:t>
      </w:r>
      <w:proofErr w:type="spellStart"/>
      <w:r w:rsidRPr="001E4C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операционализиране</w:t>
      </w:r>
      <w:proofErr w:type="spellEnd"/>
      <w:r w:rsidRPr="001E4C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механизма. Той трябва да бъде приложим за всички страни и да насърчава прилагането и спазването на поетите ангажименти.</w:t>
      </w:r>
    </w:p>
    <w:sectPr w:rsidR="00D8294E" w:rsidRPr="001E4C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C6"/>
    <w:multiLevelType w:val="hybridMultilevel"/>
    <w:tmpl w:val="9B6E3AE2"/>
    <w:lvl w:ilvl="0" w:tplc="9426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34292"/>
    <w:multiLevelType w:val="hybridMultilevel"/>
    <w:tmpl w:val="A1CEFA4C"/>
    <w:lvl w:ilvl="0" w:tplc="78EC75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F3"/>
    <w:rsid w:val="0000568D"/>
    <w:rsid w:val="000D0EEF"/>
    <w:rsid w:val="00176DED"/>
    <w:rsid w:val="001B6046"/>
    <w:rsid w:val="001E4C91"/>
    <w:rsid w:val="00236EEB"/>
    <w:rsid w:val="00253C20"/>
    <w:rsid w:val="002807C5"/>
    <w:rsid w:val="00280B93"/>
    <w:rsid w:val="002A7FA4"/>
    <w:rsid w:val="002B22A9"/>
    <w:rsid w:val="002B470F"/>
    <w:rsid w:val="00304445"/>
    <w:rsid w:val="00365EB3"/>
    <w:rsid w:val="00491B46"/>
    <w:rsid w:val="004B1CC8"/>
    <w:rsid w:val="00570368"/>
    <w:rsid w:val="0059352D"/>
    <w:rsid w:val="007239D6"/>
    <w:rsid w:val="00744055"/>
    <w:rsid w:val="007A7872"/>
    <w:rsid w:val="007B0331"/>
    <w:rsid w:val="008A49C4"/>
    <w:rsid w:val="008A5D94"/>
    <w:rsid w:val="008B4A0B"/>
    <w:rsid w:val="00967865"/>
    <w:rsid w:val="00974378"/>
    <w:rsid w:val="009E6538"/>
    <w:rsid w:val="00A04E12"/>
    <w:rsid w:val="00A7569B"/>
    <w:rsid w:val="00AA40D1"/>
    <w:rsid w:val="00BB31A0"/>
    <w:rsid w:val="00BF14D6"/>
    <w:rsid w:val="00C27315"/>
    <w:rsid w:val="00C86EC9"/>
    <w:rsid w:val="00D664F3"/>
    <w:rsid w:val="00D8294E"/>
    <w:rsid w:val="00DA2F04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F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0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0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0B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F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9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0B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0B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0B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</dc:creator>
  <cp:lastModifiedBy>SSAngelova</cp:lastModifiedBy>
  <cp:revision>2</cp:revision>
  <dcterms:created xsi:type="dcterms:W3CDTF">2018-11-26T15:48:00Z</dcterms:created>
  <dcterms:modified xsi:type="dcterms:W3CDTF">2018-11-26T15:48:00Z</dcterms:modified>
</cp:coreProperties>
</file>